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388A4" w14:textId="77777777" w:rsidR="006720CE" w:rsidRDefault="006720CE" w:rsidP="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imes New Roman" w:hAnsi="Times New Roman" w:cs="Times New Roman"/>
          <w:color w:val="000000"/>
          <w:lang w:val="en-GB" w:bidi="hi-IN"/>
        </w:rPr>
      </w:pPr>
      <w:r>
        <w:rPr>
          <w:rFonts w:ascii="Times New Roman" w:hAnsi="Times New Roman" w:cs="Times New Roman"/>
          <w:color w:val="000000"/>
          <w:lang w:val="en-GB" w:bidi="hi-IN"/>
        </w:rPr>
        <w:t>README</w:t>
      </w:r>
    </w:p>
    <w:p w14:paraId="2F2DDE1C" w14:textId="77777777" w:rsidR="006720CE" w:rsidRDefault="006720CE" w:rsidP="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imes New Roman" w:hAnsi="Times New Roman" w:cs="Times New Roman"/>
          <w:color w:val="000000"/>
          <w:lang w:val="en-GB" w:bidi="hi-IN"/>
        </w:rPr>
      </w:pPr>
    </w:p>
    <w:p w14:paraId="0DAEAC8B" w14:textId="77777777" w:rsidR="006720CE" w:rsidRDefault="006720CE" w:rsidP="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imes New Roman" w:hAnsi="Times New Roman" w:cs="Times New Roman"/>
          <w:color w:val="000000"/>
          <w:lang w:val="en-GB" w:bidi="hi-IN"/>
        </w:rPr>
      </w:pPr>
      <w:r>
        <w:rPr>
          <w:rFonts w:ascii="Times New Roman" w:hAnsi="Times New Roman" w:cs="Times New Roman"/>
          <w:color w:val="000000"/>
          <w:lang w:val="en-GB" w:bidi="hi-IN"/>
        </w:rPr>
        <w:t xml:space="preserve">These folders contain </w:t>
      </w:r>
      <w:proofErr w:type="gramStart"/>
      <w:r>
        <w:rPr>
          <w:rFonts w:ascii="Times New Roman" w:hAnsi="Times New Roman" w:cs="Times New Roman"/>
          <w:color w:val="000000"/>
          <w:lang w:val="en-GB" w:bidi="hi-IN"/>
        </w:rPr>
        <w:t>all of</w:t>
      </w:r>
      <w:proofErr w:type="gramEnd"/>
      <w:r>
        <w:rPr>
          <w:rFonts w:ascii="Times New Roman" w:hAnsi="Times New Roman" w:cs="Times New Roman"/>
          <w:color w:val="000000"/>
          <w:lang w:val="en-GB" w:bidi="hi-IN"/>
        </w:rPr>
        <w:t xml:space="preserve"> the materials necessary to replicate all empirical analyses in the article. All data from collected from the surveys is contained in the “Data” folder. The main dataset is “</w:t>
      </w:r>
      <w:proofErr w:type="spellStart"/>
      <w:r>
        <w:rPr>
          <w:rFonts w:ascii="Times New Roman" w:hAnsi="Times New Roman" w:cs="Times New Roman"/>
          <w:color w:val="000000"/>
          <w:lang w:val="en-GB" w:bidi="hi-IN"/>
        </w:rPr>
        <w:t>Data_COVID_Paper.dta</w:t>
      </w:r>
      <w:proofErr w:type="spellEnd"/>
      <w:r>
        <w:rPr>
          <w:rFonts w:ascii="Times New Roman" w:hAnsi="Times New Roman" w:cs="Times New Roman"/>
          <w:color w:val="000000"/>
          <w:lang w:val="en-GB" w:bidi="hi-IN"/>
        </w:rPr>
        <w:t>”. The folder Data/Alluvial datasets contains the data for creating alluvial plots. A brief mapping of the variables to the survey rounds is available in the following table. The variable labels within STATA provide a description of each variable.</w:t>
      </w:r>
    </w:p>
    <w:p w14:paraId="011E1835" w14:textId="77777777" w:rsidR="006720CE" w:rsidRDefault="006720CE" w:rsidP="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imes New Roman" w:hAnsi="Times New Roman" w:cs="Times New Roman"/>
          <w:color w:val="000000"/>
          <w:lang w:val="en-GB" w:bidi="hi-IN"/>
        </w:rPr>
      </w:pPr>
    </w:p>
    <w:tbl>
      <w:tblPr>
        <w:tblW w:w="0" w:type="auto"/>
        <w:tblInd w:w="-118" w:type="dxa"/>
        <w:tblBorders>
          <w:top w:val="none" w:sz="6" w:space="0" w:color="auto"/>
          <w:left w:val="none" w:sz="6" w:space="0" w:color="auto"/>
          <w:right w:val="none" w:sz="6" w:space="0" w:color="auto"/>
        </w:tblBorders>
        <w:tblLayout w:type="fixed"/>
        <w:tblLook w:val="0000" w:firstRow="0" w:lastRow="0" w:firstColumn="0" w:lastColumn="0" w:noHBand="0" w:noVBand="0"/>
      </w:tblPr>
      <w:tblGrid>
        <w:gridCol w:w="4280"/>
        <w:gridCol w:w="4300"/>
      </w:tblGrid>
      <w:tr w:rsidR="006720CE" w14:paraId="3B9579D3" w14:textId="77777777">
        <w:tblPrEx>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7A935635"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b/>
                <w:bCs/>
                <w:color w:val="000000"/>
                <w:lang w:val="en-GB" w:bidi="hi-IN"/>
              </w:rPr>
              <w:t>Variable Type</w:t>
            </w:r>
          </w:p>
        </w:tc>
        <w:tc>
          <w:tcPr>
            <w:tcW w:w="430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015F2EDD"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b/>
                <w:bCs/>
                <w:color w:val="000000"/>
                <w:lang w:val="en-GB" w:bidi="hi-IN"/>
              </w:rPr>
              <w:t>Description</w:t>
            </w:r>
          </w:p>
        </w:tc>
      </w:tr>
      <w:tr w:rsidR="006720CE" w14:paraId="7827C0E7"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706F6D91"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MO_1_*</w:t>
            </w:r>
          </w:p>
        </w:tc>
        <w:tc>
          <w:tcPr>
            <w:tcW w:w="430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7DCB37C7"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Main outcomes from survey round 2 (Mar-Apr 2021).</w:t>
            </w:r>
          </w:p>
        </w:tc>
      </w:tr>
      <w:tr w:rsidR="006720CE" w14:paraId="5F611EC7"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2820689D"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MO_1_5_*</w:t>
            </w:r>
          </w:p>
        </w:tc>
        <w:tc>
          <w:tcPr>
            <w:tcW w:w="430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7E5A0AE6"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Main outcomes from survey round 3 (Nov-Dec 2021).</w:t>
            </w:r>
          </w:p>
        </w:tc>
      </w:tr>
      <w:tr w:rsidR="006720CE" w14:paraId="1B9E1DC2"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2BE690A3"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SO_1_*</w:t>
            </w:r>
          </w:p>
        </w:tc>
        <w:tc>
          <w:tcPr>
            <w:tcW w:w="430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4747769C"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Secondary outcomes from survey round 2 (Mar-Apr 2021).</w:t>
            </w:r>
          </w:p>
        </w:tc>
      </w:tr>
      <w:tr w:rsidR="006720CE" w14:paraId="2240FC5B"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1BE86236"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SO_1_5_*</w:t>
            </w:r>
          </w:p>
        </w:tc>
        <w:tc>
          <w:tcPr>
            <w:tcW w:w="430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3D0C7714"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Secondary outcomes from survey round 3 (Nov-Dec 2021).</w:t>
            </w:r>
          </w:p>
        </w:tc>
      </w:tr>
      <w:tr w:rsidR="006720CE" w14:paraId="19E967DA"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321DEA7A"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AO_1*</w:t>
            </w:r>
          </w:p>
        </w:tc>
        <w:tc>
          <w:tcPr>
            <w:tcW w:w="430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40B925BC"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 xml:space="preserve">Additional outcomes from the </w:t>
            </w:r>
            <w:proofErr w:type="spellStart"/>
            <w:r>
              <w:rPr>
                <w:rFonts w:ascii="Times New Roman" w:hAnsi="Times New Roman" w:cs="Times New Roman"/>
                <w:color w:val="000000"/>
                <w:lang w:val="en-GB" w:bidi="hi-IN"/>
              </w:rPr>
              <w:t>Yuvasampark</w:t>
            </w:r>
            <w:proofErr w:type="spellEnd"/>
            <w:r>
              <w:rPr>
                <w:rFonts w:ascii="Times New Roman" w:hAnsi="Times New Roman" w:cs="Times New Roman"/>
                <w:color w:val="000000"/>
                <w:lang w:val="en-GB" w:bidi="hi-IN"/>
              </w:rPr>
              <w:t xml:space="preserve"> experiment from survey round 2 (Mar-Apr 2021).</w:t>
            </w:r>
          </w:p>
        </w:tc>
      </w:tr>
      <w:tr w:rsidR="006720CE" w14:paraId="71D8FDEB"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2A41E5C5"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AO_1_5*</w:t>
            </w:r>
          </w:p>
        </w:tc>
        <w:tc>
          <w:tcPr>
            <w:tcW w:w="430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3D188CA9"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 xml:space="preserve">Additional outcomes from the </w:t>
            </w:r>
            <w:proofErr w:type="spellStart"/>
            <w:r>
              <w:rPr>
                <w:rFonts w:ascii="Times New Roman" w:hAnsi="Times New Roman" w:cs="Times New Roman"/>
                <w:color w:val="000000"/>
                <w:lang w:val="en-GB" w:bidi="hi-IN"/>
              </w:rPr>
              <w:t>Yuvasampark</w:t>
            </w:r>
            <w:proofErr w:type="spellEnd"/>
            <w:r>
              <w:rPr>
                <w:rFonts w:ascii="Times New Roman" w:hAnsi="Times New Roman" w:cs="Times New Roman"/>
                <w:color w:val="000000"/>
                <w:lang w:val="en-GB" w:bidi="hi-IN"/>
              </w:rPr>
              <w:t xml:space="preserve"> experiment from survey round 3 (Nov-Dec 2021).</w:t>
            </w:r>
          </w:p>
        </w:tc>
      </w:tr>
      <w:tr w:rsidR="006720CE" w14:paraId="1914DB07"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2C920800"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DS_*</w:t>
            </w:r>
          </w:p>
        </w:tc>
        <w:tc>
          <w:tcPr>
            <w:tcW w:w="430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7949A391"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Employment transition over survey rounds</w:t>
            </w:r>
          </w:p>
        </w:tc>
      </w:tr>
      <w:tr w:rsidR="006720CE" w14:paraId="07A202F0"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50235E01"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proofErr w:type="spellStart"/>
            <w:r>
              <w:rPr>
                <w:rFonts w:ascii="Times New Roman" w:hAnsi="Times New Roman" w:cs="Times New Roman"/>
                <w:color w:val="000000"/>
                <w:lang w:val="en-GB" w:bidi="hi-IN"/>
              </w:rPr>
              <w:t>FifthEL</w:t>
            </w:r>
            <w:proofErr w:type="spellEnd"/>
            <w:r>
              <w:rPr>
                <w:rFonts w:ascii="Times New Roman" w:hAnsi="Times New Roman" w:cs="Times New Roman"/>
                <w:color w:val="000000"/>
                <w:lang w:val="en-GB" w:bidi="hi-IN"/>
              </w:rPr>
              <w:t>_*</w:t>
            </w:r>
          </w:p>
        </w:tc>
        <w:tc>
          <w:tcPr>
            <w:tcW w:w="430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77DA2A9F"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Variables from survey round 3</w:t>
            </w:r>
          </w:p>
        </w:tc>
      </w:tr>
      <w:tr w:rsidR="006720CE" w14:paraId="74A477CF"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6D575753"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proofErr w:type="spellStart"/>
            <w:r>
              <w:rPr>
                <w:rFonts w:ascii="Times New Roman" w:hAnsi="Times New Roman" w:cs="Times New Roman"/>
                <w:color w:val="000000"/>
                <w:lang w:val="en-GB" w:bidi="hi-IN"/>
              </w:rPr>
              <w:t>FourthEL</w:t>
            </w:r>
            <w:proofErr w:type="spellEnd"/>
            <w:r>
              <w:rPr>
                <w:rFonts w:ascii="Times New Roman" w:hAnsi="Times New Roman" w:cs="Times New Roman"/>
                <w:color w:val="000000"/>
                <w:lang w:val="en-GB" w:bidi="hi-IN"/>
              </w:rPr>
              <w:t>_*</w:t>
            </w:r>
          </w:p>
        </w:tc>
        <w:tc>
          <w:tcPr>
            <w:tcW w:w="430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4ABDF673"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Variables from survey round 2</w:t>
            </w:r>
          </w:p>
        </w:tc>
      </w:tr>
      <w:tr w:rsidR="006720CE" w14:paraId="03A838C9"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64953ED3"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TEL_*</w:t>
            </w:r>
          </w:p>
        </w:tc>
        <w:tc>
          <w:tcPr>
            <w:tcW w:w="430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4C9823F4"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Variables from survey round 1 (Jun-July 2020).</w:t>
            </w:r>
          </w:p>
        </w:tc>
      </w:tr>
      <w:tr w:rsidR="006720CE" w14:paraId="20B46A11"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67973522"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FEL_*</w:t>
            </w:r>
          </w:p>
        </w:tc>
        <w:tc>
          <w:tcPr>
            <w:tcW w:w="430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2EDE4972"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 xml:space="preserve">Pre-lockdown 2020 </w:t>
            </w:r>
          </w:p>
        </w:tc>
      </w:tr>
      <w:tr w:rsidR="006720CE" w14:paraId="118EAD4C" w14:textId="77777777">
        <w:tblPrEx>
          <w:tblBorders>
            <w:top w:val="none" w:sz="0" w:space="0" w:color="auto"/>
          </w:tblBorders>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4455C4E0"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H_*</w:t>
            </w:r>
          </w:p>
        </w:tc>
        <w:tc>
          <w:tcPr>
            <w:tcW w:w="4300" w:type="dxa"/>
            <w:tcBorders>
              <w:top w:val="single" w:sz="8" w:space="0" w:color="000000"/>
              <w:left w:val="single" w:sz="8" w:space="0" w:color="000000"/>
              <w:bottom w:val="single" w:sz="8" w:space="0" w:color="000000"/>
              <w:right w:val="single" w:sz="8" w:space="0" w:color="000000"/>
            </w:tcBorders>
            <w:tcMar>
              <w:top w:w="100" w:type="nil"/>
              <w:right w:w="100" w:type="nil"/>
            </w:tcMar>
          </w:tcPr>
          <w:p w14:paraId="296E8FC8"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Heterogeneity based on gender and education</w:t>
            </w:r>
          </w:p>
        </w:tc>
      </w:tr>
      <w:tr w:rsidR="006720CE" w14:paraId="4AA61D96" w14:textId="77777777">
        <w:tblPrEx>
          <w:tblCellMar>
            <w:top w:w="0" w:type="dxa"/>
            <w:bottom w:w="0" w:type="dxa"/>
          </w:tblCellMar>
        </w:tblPrEx>
        <w:tc>
          <w:tcPr>
            <w:tcW w:w="428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299AF495"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Helvetica" w:hAnsi="Helvetica" w:cs="Helvetica"/>
                <w:lang w:val="en-GB" w:bidi="hi-IN"/>
              </w:rPr>
            </w:pPr>
            <w:r>
              <w:rPr>
                <w:rFonts w:ascii="Times New Roman" w:hAnsi="Times New Roman" w:cs="Times New Roman"/>
                <w:color w:val="000000"/>
                <w:lang w:val="en-GB" w:bidi="hi-IN"/>
              </w:rPr>
              <w:t>c_*</w:t>
            </w:r>
          </w:p>
        </w:tc>
        <w:tc>
          <w:tcPr>
            <w:tcW w:w="4300" w:type="dxa"/>
            <w:tcBorders>
              <w:top w:val="single" w:sz="8" w:space="0" w:color="000000"/>
              <w:left w:val="single" w:sz="8" w:space="0" w:color="000000"/>
              <w:bottom w:val="single" w:sz="8" w:space="0" w:color="000000"/>
              <w:right w:val="single" w:sz="8" w:space="0" w:color="000000"/>
            </w:tcBorders>
            <w:shd w:val="clear" w:color="auto" w:fill="F2F2F2"/>
            <w:tcMar>
              <w:top w:w="100" w:type="nil"/>
              <w:right w:w="100" w:type="nil"/>
            </w:tcMar>
          </w:tcPr>
          <w:p w14:paraId="38A5C5E8" w14:textId="77777777" w:rsidR="006720CE" w:rsidRDefault="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Times New Roman" w:hAnsi="Times New Roman" w:cs="Times New Roman"/>
                <w:color w:val="000000"/>
                <w:lang w:val="en-GB" w:bidi="hi-IN"/>
              </w:rPr>
            </w:pPr>
            <w:r>
              <w:rPr>
                <w:rFonts w:ascii="Times New Roman" w:hAnsi="Times New Roman" w:cs="Times New Roman"/>
                <w:color w:val="000000"/>
                <w:lang w:val="en-GB" w:bidi="hi-IN"/>
              </w:rPr>
              <w:t>Baseline Control Variables</w:t>
            </w:r>
          </w:p>
        </w:tc>
      </w:tr>
    </w:tbl>
    <w:p w14:paraId="61C9E832" w14:textId="77777777" w:rsidR="006720CE" w:rsidRDefault="006720CE" w:rsidP="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imes New Roman" w:hAnsi="Times New Roman" w:cs="Times New Roman"/>
          <w:color w:val="000000"/>
          <w:lang w:val="en-GB" w:bidi="hi-IN"/>
        </w:rPr>
      </w:pPr>
    </w:p>
    <w:p w14:paraId="19DDA4CD" w14:textId="77777777" w:rsidR="006720CE" w:rsidRDefault="006720CE" w:rsidP="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imes New Roman" w:hAnsi="Times New Roman" w:cs="Times New Roman"/>
          <w:color w:val="000000"/>
          <w:lang w:val="en-GB" w:bidi="hi-IN"/>
        </w:rPr>
      </w:pPr>
    </w:p>
    <w:p w14:paraId="67080FC2" w14:textId="77777777" w:rsidR="006720CE" w:rsidRDefault="006720CE" w:rsidP="006720CE">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imes New Roman" w:hAnsi="Times New Roman" w:cs="Times New Roman"/>
          <w:color w:val="000000"/>
          <w:lang w:val="en-GB" w:bidi="hi-IN"/>
        </w:rPr>
      </w:pPr>
      <w:r>
        <w:rPr>
          <w:rFonts w:ascii="Times New Roman" w:hAnsi="Times New Roman" w:cs="Times New Roman"/>
          <w:color w:val="000000"/>
          <w:lang w:val="en-GB" w:bidi="hi-IN"/>
        </w:rPr>
        <w:t xml:space="preserve">To run the analysis, open the “Replication do files” folder. The STATA do files are ordered as they should be run and as the analysis appears in the paper. The title of the do file provides the table number and table title. In the first step, please load the Master do file to put the correct file paths. Then run the “T0 Programs.do” file for a function to generate the q-values. “All </w:t>
      </w:r>
      <w:proofErr w:type="spellStart"/>
      <w:r>
        <w:rPr>
          <w:rFonts w:ascii="Times New Roman" w:hAnsi="Times New Roman" w:cs="Times New Roman"/>
          <w:color w:val="000000"/>
          <w:lang w:val="en-GB" w:bidi="hi-IN"/>
        </w:rPr>
        <w:t>Figures.rmd</w:t>
      </w:r>
      <w:proofErr w:type="spellEnd"/>
      <w:r>
        <w:rPr>
          <w:rFonts w:ascii="Times New Roman" w:hAnsi="Times New Roman" w:cs="Times New Roman"/>
          <w:color w:val="000000"/>
          <w:lang w:val="en-GB" w:bidi="hi-IN"/>
        </w:rPr>
        <w:t xml:space="preserve">” file generates all the figures used in the paper. The output of the analysis appears in the Results/Tables and Results/Figures folder. </w:t>
      </w:r>
    </w:p>
    <w:p w14:paraId="41FF2916" w14:textId="77777777" w:rsidR="00896996" w:rsidRDefault="00896996"/>
    <w:sectPr w:rsidR="00896996" w:rsidSect="000410A9">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0CE"/>
    <w:rsid w:val="006720CE"/>
    <w:rsid w:val="007F4666"/>
    <w:rsid w:val="00896996"/>
    <w:rsid w:val="009B5397"/>
    <w:rsid w:val="00CE1CA0"/>
    <w:rsid w:val="00D7244A"/>
    <w:rsid w:val="00F510D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4:docId w14:val="200D3494"/>
  <w15:chartTrackingRefBased/>
  <w15:docId w15:val="{46559AD0-95D1-4441-B703-9125F7034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2022-11-18T16:54:00Z</dcterms:created>
  <dcterms:modified xsi:type="dcterms:W3CDTF">2022-11-18T16:56:00Z</dcterms:modified>
</cp:coreProperties>
</file>